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NW_31485 (Nordrhein-Westfalen) — Aufgaben der LWL-Einrichtungen für den Maßregelvollzug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seinen Spezialeinrichtungen für den Maßregelvollzug leistet der LWL durch die qualifizierte Behandlung und Unterbringung psychisch und suchtkranker Rechtsbrecher einen wichtigen Beitrag für die Sicherheit der Menschen in Westfalen-Lippe.</w:t>
      </w:r>
    </w:p>
    <w:p>
      <w:r>
        <w:t xml:space="preserve">Die Maßregelvollzugseinrichtungen haben die Behandlung, Sicherung und Nachsorge der ihnen zugewiesenen Patienten/-innen nach Maßgabe des Maßregelvollzugsgesetzes NRW zu gewährleisten. Bei der Erfüllung dieser Aufgabe unterstützen sie sich gegenseitig.</w:t>
      </w:r>
    </w:p>
    <w:p>
      <w:r>
        <w:t xml:space="preserve">(2) Die LWL-Maßregelvollzugsabteilung mit ihren Einrichtungen und der LWL-PsychiatrieVerbund Westfalen arbeiten partnerschaftlich zusammen und nutzen mögliche Synergiepotentiale.</w:t>
      </w:r>
    </w:p>
    <w:p>
      <w:r>
        <w:rPr>
          <w:color w:val="555555"/>
          <w:sz w:val="17"/>
        </w:rPr>
        <w:t xml:space="preserve">Zitiervorschlag: § 1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