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NW_31456 (Nordrhein-Westfalen) — Inkrafttreten, Berichtspflicht</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der Verkündung in Kraft.</w:t>
      </w:r>
    </w:p>
    <w:p>
      <w:r>
        <w:t xml:space="preserve">(2) Das für Kinder- und Jugendhilfe zuständige Ministerium berichtet der Landesregierung bis zum 31. Dezember 2018 über die Erfahrungen mit dieser Verordnung.</w:t>
      </w:r>
    </w:p>
    <w:p>
      <w:r>
        <w:t xml:space="preserve">Die Ministerin</w:t>
      </w:r>
    </w:p>
    <w:p>
      <w:r>
        <w:t xml:space="preserve">für Familie, Kinder, Jugend,</w:t>
      </w:r>
    </w:p>
    <w:p>
      <w:r>
        <w:t xml:space="preserve">Kultur und Sport</w:t>
      </w:r>
    </w:p>
    <w:p>
      <w:r>
        <w:t xml:space="preserve">des Landes Nordrhein-Westfalen</w:t>
      </w:r>
    </w:p>
    <w:p>
      <w:r>
        <w:rPr>
          <w:color w:val="555555"/>
          <w:sz w:val="17"/>
        </w:rPr>
        <w:t xml:space="preserve">Zitiervorschlag: § 8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