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NW_31455 (Nordrhein-Westfalen) — Inkrafttreten, Außerkrafttreten</w:t>
      </w:r>
    </w:p>
    <w:p>
      <w:r>
        <w:rPr>
          <w:color w:val="555555"/>
          <w:sz w:val="18"/>
        </w:rPr>
        <w:t xml:space="preserve">GebO-WissM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Tag nach ihrer Verkündung in Kraft. Sie tritt am 30. November 2026 außer Kraft.</w:t>
      </w:r>
    </w:p>
    <w:p>
      <w:r>
        <w:t xml:space="preserve">(2) Mit Inkrafttreten dieser Verordnung tritt die Gebührenordnung für Amtshandlungen des für Wissenschaft zuständigen Ministeriums des Landes Nordrhein-Westfalen vom 16. Dezember 2010 (GV. NRW. 2011 S. 2), die durch Verordnung vom 29. Mai 2015 (GV. NRW. S. 510) geändert worden ist, außer Kraft.</w:t>
      </w:r>
    </w:p>
    <w:p>
      <w:r>
        <w:rPr>
          <w:color w:val="555555"/>
          <w:sz w:val="17"/>
        </w:rPr>
        <w:t xml:space="preserve">Zitiervorschlag: § 3 NW_31455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