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NW_31455 (Nordrhein-Westfalen) — Anwendung des Gebührengesetzes und Gebührenfreiheit</w:t>
      </w:r>
    </w:p>
    <w:p>
      <w:r>
        <w:rPr>
          <w:color w:val="555555"/>
          <w:sz w:val="18"/>
        </w:rPr>
        <w:t xml:space="preserve">GebO-WissM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§§ 3 bis 22 des Gebührengesetzes für das Land Nordrhein-Westfalen in der Fassung der Bekanntmachung vom 23. August 1999 (GV. NRW. S. 524), das zuletzt durch Artikel 4 des Gesetzes vom 23. Juni 2021 (GV. NRW. S. 762) geändert worden ist, finden entsprechende Anwendung.</w:t>
      </w:r>
    </w:p>
    <w:p>
      <w:r>
        <w:t xml:space="preserve">(2) Staatlich anerkannte Fachhochschulen, denen Zuschüsse nach § 110 des Hochschulgesetzes vom 16. September 2014 (GV. NRW. S. 547) in der jeweils geltenden Fassung gewährt werden, sind von den Gebühren befreit, soweit die Amtshandlung den bezuschussten Bereich betrifft.</w:t>
      </w:r>
    </w:p>
    <w:p>
      <w:r>
        <w:rPr>
          <w:color w:val="555555"/>
          <w:sz w:val="17"/>
        </w:rPr>
        <w:t xml:space="preserve">Zitiervorschlag: § 2 NW_31455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https://recht.nulegal.eu/gesetze/NW_31455/2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