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NW_31455 (Nordrhein-Westfalen) — Gebührentarif</w:t>
      </w:r>
    </w:p>
    <w:p>
      <w:r>
        <w:rPr>
          <w:color w:val="555555"/>
          <w:sz w:val="18"/>
        </w:rPr>
        <w:t xml:space="preserve">GebO-WissM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im anliegenden Gebührentarif genannten Amtshandlungen des für Wissenschaft zuständigen Ministeriums werden die dort genannten Kosten (Gebühren und Auslagen) erhoben. Der Gebührentarif ist Bestandteil dieser Verordnung.</w:t>
      </w:r>
    </w:p>
    <w:p>
      <w:r>
        <w:t xml:space="preserve">(2) Die Tarifstellen 30.1.1 bis 30.1.5, 30.3, 30.4, 30.5 und 31 der Allgemeinen Verwaltungsgebührenordnung vom 3. Juli 2001 (GV. NRW. S. 262), die zuletzt durch Verordnung vom 23. Juni 2021 (GV. NRW. S. 842) geändert worden ist, finden entsprechende Anwendung.</w:t>
      </w:r>
    </w:p>
    <w:p>
      <w:r>
        <w:rPr>
          <w:color w:val="555555"/>
          <w:sz w:val="17"/>
        </w:rPr>
        <w:t xml:space="preserve">Zitiervorschlag: § 1 NW_31455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https://recht.nulegal.eu/gesetze/NW_31455/1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