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NW_31443 (Nordrhein-Westfalen) — Arten</w:t>
      </w:r>
    </w:p>
    <w:p>
      <w:r>
        <w:rPr>
          <w:color w:val="555555"/>
          <w:sz w:val="18"/>
        </w:rPr>
        <w:t xml:space="preserve">BHKG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Feuerwehren im Sinne dieses Gesetzes sind öffentliche Feuerwehren (Berufsfeuerwehren, Freiwillige Feuerwehren, Pflichtfeuerwehren) und betriebliche Feuerwehren (Betriebsfeuerwehren, Werkfeuerwehren).</w:t>
      </w:r>
    </w:p>
    <w:p>
      <w:r>
        <w:t xml:space="preserve">(2) Freiwillige Feuerwehr und Berufsfeuerwehr sind die Feuerwehr der Gemeinde. Dies gilt auch für die Pflichtfeuerwehr.</w:t>
      </w:r>
    </w:p>
    <w:p>
      <w:r>
        <w:t xml:space="preserve">(3) Bei den Feuerwehren sind die besonderen Belange der Menschen mit Behinderung angemessen zu berücksichtigen.</w:t>
      </w:r>
    </w:p>
    <w:p>
      <w:r>
        <w:rPr>
          <w:color w:val="555555"/>
          <w:sz w:val="17"/>
        </w:rPr>
        <w:t xml:space="preserve">Zitiervorschlag: § 7 NW_31443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https://recht.nulegal.eu/gesetze/NW_31443/7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