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NW_31443 (Nordrhein-Westfalen) — Verordnungs- und Satzungsermächtigungen</w:t>
      </w:r>
    </w:p>
    <w:p>
      <w:r>
        <w:rPr>
          <w:color w:val="555555"/>
          <w:sz w:val="18"/>
        </w:rPr>
        <w:t xml:space="preserve">BHKG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für Inneres zuständige Ministerium wird ermächtigt, durch Rechtsverordnung Vorschriften über</w:t>
      </w:r>
    </w:p>
    <w:p>
      <w:r>
        <w:t xml:space="preserve">1. die Organisation des Brandschutzes, der Hilfeleistung und des Katastrophenschutzes auf dem Rhein sowie die Einsatzbereiche der Löschboote (§ 6),</w:t>
      </w:r>
    </w:p>
    <w:p>
      <w:r>
        <w:t xml:space="preserve">2. die Aufnahme, die Laufbahnen und das Ausscheiden der ehrenamtlichen Angehörigen der Feuerwehren (§ 9) und der ehrenamtlichen Kreisbrandmeisterinnen und Kreisbrandmeister (§ 12),</w:t>
      </w:r>
    </w:p>
    <w:p>
      <w:r>
        <w:t xml:space="preserve">3. die Voraussetzungen für die Anerkennung, die Anordnung und die Aufhebung der Anordnung oder Anerkennung, die Organisation und die Ausstattung einer Werkfeuerwehr sowie die Aus- und Fortbildung der Angehörigen einer Werkfeuerwehr (§ 16),</w:t>
      </w:r>
    </w:p>
    <w:p>
      <w:r>
        <w:t xml:space="preserve">4. die Höhe der Reisekostenpauschale und der Aufwandsentschädigung sowie des Regelstundensatzes und des Höchstbetrags für Bezirksbrandmeisterinnen und Bezirksbrandmeister sowie ihre Vertreterinnen und Vertreter (§ 12 Absatz 7) und</w:t>
      </w:r>
    </w:p>
    <w:p>
      <w:r>
        <w:t xml:space="preserve">5. die Struktur, Stärke und Ausstattung der nach diesem Gesetz mitwirkenden Einheiten</w:t>
      </w:r>
    </w:p>
    <w:p>
      <w:r>
        <w:t xml:space="preserve">zu erlassen.</w:t>
      </w:r>
    </w:p>
    <w:p>
      <w:r>
        <w:t xml:space="preserve">(2) Die Unfallkasse Nordrhein-Westfalen wird ermächtigt, durch Satzungsbeschluss freiwillige Unterstützungsleistungen für ehrenamtliche Angehörige der Feuerwehren in Nordrhein-Westfalen zu erbringen.</w:t>
      </w:r>
    </w:p>
    <w:p>
      <w:r>
        <w:rPr>
          <w:color w:val="555555"/>
          <w:sz w:val="17"/>
        </w:rPr>
        <w:t xml:space="preserve">Zitiervorschlag: § 56 NW_31443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https://recht.nulegal.eu/gesetze/NW_31443/56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