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NW_31443 (Nordrhein-Westfalen) — Entschädigung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Schaden, den jemand erleidet, weil sie oder er</w:t>
      </w:r>
    </w:p>
    <w:p>
      <w:r>
        <w:t xml:space="preserve">1. nach § 43 Absatz 1 bis 4 oder § 44 Absatz 3 oder 4 in Anspruch genommen wird oder</w:t>
      </w:r>
    </w:p>
    <w:p>
      <w:r>
        <w:t xml:space="preserve">2. bei einem Schadensereignis nach diesem Gesetz Hilfe leistet,</w:t>
      </w:r>
    </w:p>
    <w:p>
      <w:r>
        <w:t xml:space="preserve">ist in entsprechender Anwendung der §§ 39 bis 43 des Ordnungsbehördengesetzes zu ersetzen.</w:t>
      </w:r>
    </w:p>
    <w:p>
      <w:r>
        <w:t xml:space="preserve">(2) Entschädigungspflichtig ist die Gemeinde des Schadensortes. § 42 Absatz 2 des Ordnungsbehördengesetzes findet entsprechende Anwendung.</w:t>
      </w:r>
    </w:p>
    <w:p>
      <w:r>
        <w:rPr>
          <w:color w:val="555555"/>
          <w:sz w:val="17"/>
        </w:rPr>
        <w:t xml:space="preserve">Zitiervorschlag: § 45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