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NW_31443 (Nordrhein-Westfalen) — Pflichten der Grundstückseigentümerinnen und -eigentümer,Grundstücksbesitzerinnen und -besitzer</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Eigentümerinnen und Eigentümer sowie Besitzerinnen und Besitzer von Gebäuden und Grundstücken sind verpflichtet, die Brandverhütungsschau und die Anbringung von Feuermelde- und Alarmeinrichtungen, Kommunikationseinrichtungen für Zwecke des Brandschutzes, der Hilfeleistung und des Katastrophenschutzes sowie von Hinweisschildern zur Gefahrenbekämpfung ohne Entschädigung zu dulden. Eine Entschädigung ist nur dann zu leisten, wenn die Eigentümerin oder der Eigentümer, die Besitzerin oder der Besitzer das Gebäude oder Grundstück gewerblich zur Vermietung von Kommunikationsflächen nutzt.</w:t>
      </w:r>
    </w:p>
    <w:p>
      <w:r>
        <w:t xml:space="preserve">(2) Eigentümerinnen und Eigentümer sowie Besitzerinnen und Besitzer der von Schadenfeuern, Unglücksfällen oder öffentlichen Notständen betroffenen Grundstücke, Gebäude oder Schiffe sind verpflichtet, den beim Einsatz tätigen Kräften Zutritt zu gestatten und Arbeiten zur Abwendung der Gefahr zu dulden. Sie haben Wasservorräte, die sich in ihrem Besitz befinden oder auf ihren Grundstücken gewonnen werden können, sowie sonstige Hilfsmittel, insbesondere für die Schadensbekämpfung verwendbare Geräte, auf Anforderung zur Verfügung zu stellen und zur Benutzung zu überlassen. Sie haben ferner die von der Einsatzleitung im Interesse eines wirkungsvollen Einsatzes und zur Verhütung einer weiteren Ausdehnung des Schadensfalles angeordneten Maßnahmen wie Räumung von Grundstücken, Gebäuden und Schiffen, Beseitigung von Bäumen, Sträuchern und Pflanzen, von Einfriedungen, Gebäudeteilen und Gebäuden zu dulden. Diese Maßnahmen dürfen nicht zu Schäden führen, die erkennbar außer Verhältnis zu dem beabsichtigten Erfolg stehen.</w:t>
      </w:r>
    </w:p>
    <w:p>
      <w:r>
        <w:t xml:space="preserve">(3) Die Verpflichtung nach Absatz 2 haben auch die Eigentümerinnen und Eigentümer sowie die Besitzerinnen und Besitzer der umliegenden Grundstücke, Gebäude und Schiffe.</w:t>
      </w:r>
    </w:p>
    <w:p>
      <w:r>
        <w:t xml:space="preserve">(4) Das Betretungsrecht nach Absatz 2 Satz 1 und Absatz 3 gilt auch zur Erkundung und für Übungszwecke, soweit dies wegen der Ausdehnung, des Gefährdungspotentials oder der Besonderheit des Objektes zur Vorbereitung auf einen Einsatzfall erforderlich ist.</w:t>
      </w:r>
    </w:p>
    <w:p>
      <w:r>
        <w:rPr>
          <w:color w:val="555555"/>
          <w:sz w:val="17"/>
        </w:rPr>
        <w:t xml:space="preserve">Zitiervorschlag: § 44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