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NW_31443 (Nordrhein-Westfalen) — Aufgaben der Kreise</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Kreise unterhalten Einheiten und Einrichtungen für den Brandschutz und die Hilfeleistung, soweit ein überörtlicher Bedarf besteht. Sie beraten und unterstützen die kreisangehörigen Gemeinden in der Wahrnehmung der ihnen obliegenden Aufgaben, soweit dafür ein Bedarf besteht. Nach Maßgabe des § 32 sorgen sie für die weitergehende Aus- und Fortbildung der Feuerwehrangehörigen ihrer kreisangehörigen Gemeinden. Gemeinsam mit ihren kreisangehörigen Gemeinden sind sie für die Warnung der Bevölkerung verantwortlich.</w:t>
      </w:r>
    </w:p>
    <w:p>
      <w:r>
        <w:t xml:space="preserve">(2) Die Kreise treffen die erforderlichen Maßnahmen zur Vorbereitung der Bekämpfung von Großeinsatzlagen und Katastrophen. Sie leiten und koordinieren den Einsatz zur Gefahrenabwehr. Hierfür halten sie Einheiten sowie Einrichtungen vor.</w:t>
      </w:r>
    </w:p>
    <w:p>
      <w:r>
        <w:t xml:space="preserve">(3) Die Kreise haben Pläne für Großeinsatzlagen und Katastrophen (Katastrophenschutzpläne) sowie Sonderschutzpläne für besonders gefährliche Objekte (§ 29 Absatz 1), Betriebsbereiche mit erweiterten Pflichten (§ 30) und bergbauliche Abfallentsorgungseinrichtungen (§ 31) aufzustellen. Diese sind, soweit nicht anders geregelt, spätestens alle fünf Jahre fortzuschreiben. Die kreisangehörigen Gemeinden sind zu beteiligen.</w:t>
      </w:r>
    </w:p>
    <w:p>
      <w:r>
        <w:t xml:space="preserve">(4) Die Kreise unterhalten nach Maßgabe des § 28 eine einheitliche Leitstelle für den Brandschutz, die Hilfeleistung, den Katastrophenschutz und den Rettungsdienst sowie nach Maßgabe des § 38 eine Auskunftsstelle.</w:t>
      </w:r>
    </w:p>
    <w:p>
      <w:r>
        <w:t xml:space="preserve">(5) Die Kreise unterrichten sich gegenseitig, soweit eine Gefährdung benachbarter Gebietskörperschaften nicht sicher auszuschließen ist sowie in den Fällen, in denen im eigenen Zuständigkeitsbereich die Warnung und Information der Bevölkerung durchgeführt wurde.</w:t>
      </w:r>
    </w:p>
    <w:p>
      <w:r>
        <w:t xml:space="preserve">(6) Die Kreise legen fest, wann die Mittel zur Bewältigung von Großeinsatzlagen und Katastrophen auch zu Zwecken eingesetzt werden, die keine Ereignisse nach § 1 Absatz 2 sind.</w:t>
      </w:r>
    </w:p>
    <w:p>
      <w:r>
        <w:rPr>
          <w:color w:val="555555"/>
          <w:sz w:val="17"/>
        </w:rPr>
        <w:t xml:space="preserve">Zitiervorschlag: § 4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