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NW_31436 (Nordrhein-Westfalen) — Berichtspflicht</w:t>
      </w:r>
    </w:p>
    <w:p>
      <w:r>
        <w:rPr>
          <w:color w:val="555555"/>
          <w:sz w:val="18"/>
        </w:rPr>
        <w:t xml:space="preserve">5. AG-KJHG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Landesregierung berichtet dem Landtag innerhalb von drei Monaten nach dem Stichtag 30. Juni 2017 und danach alle drei Jahre bis zum 31. Dezember unter Einbeziehung der kommunalen Spitzenverbände, der Landesjugendämter, der Arbeitsgemeinschaft der Spitzenverbände der Freien Wohlfahrtspflege des Landes Nordrhein-Westfalen, des Deutschen Kinderschutzbundes Landesverband NRW e.V. und des Flüchtlingsrates NRW e.V. über die Auswirkungen dieses Gesetzes.</w:t>
      </w:r>
    </w:p>
    <w:p>
      <w:r>
        <w:rPr>
          <w:color w:val="555555"/>
          <w:sz w:val="17"/>
        </w:rPr>
        <w:t xml:space="preserve">Zitiervorschlag: § 9 NW_31436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https://recht.nulegal.eu/gesetze/NW_31436/9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