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NW_31423 (Nordrhein-Westfalen)</w:t>
      </w:r>
    </w:p>
    <w:p>
      <w:r>
        <w:rPr>
          <w:color w:val="555555"/>
          <w:sz w:val="18"/>
        </w:rPr>
        <w:t xml:space="preserve">Verordnung über beamten- und disziplinarrechtliche Zuständigkeiten im Geschäftsbereich des für Inneres zuständigen Ministeriums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November 2015</w:t>
      </w:r>
    </w:p>
    <w:p>
      <w:r>
        <w:t xml:space="preserve">Auf Grund</w:t>
      </w:r>
    </w:p>
    <w:p>
      <w:r>
        <w:t xml:space="preserve">- des § 2 Absatz 2 und des § 105 Satz 2 des Landesbeamtengesetzes vom 21. April 2009 (GV. NRW. S. 224) in Verbindung mit § 4 Absatz 1 Satz 1 des Landesrichtergesetzes vom 29. März 1966 (GV. NRW. S. 217),</w:t>
      </w:r>
    </w:p>
    <w:p>
      <w:r>
        <w:t xml:space="preserve">- des § 54 Absatz 3 Satz 2 des Beamtenstatusgesetzes vom 17. Juni 2008 (BGBl. I S. 1010),</w:t>
      </w:r>
    </w:p>
    <w:p>
      <w:r>
        <w:t xml:space="preserve">- des § 3 Absatz 1 der Verordnung über die Ernennung, Entlassung und Zurruhesetzung der Beamtinnen und Beamten und Richterinnen und Richter des Landes Nordrhein-Westfalen vom 25. Februar 2014 (GV. NRW. S. 199), der zuletzt durch Verordnung vom 9. September 2014 (GV. NRW. S. 500) geändert worden ist,</w:t>
      </w:r>
    </w:p>
    <w:p>
      <w:r>
        <w:t xml:space="preserve">- der §§ 17 Absatz 5 Satz 2, 32 Absatz 2 Satz 2, 76 Absatz 5 und 81 Satz 2 des Landesdisziplinargesetzes vom 16. November 2004 (GV. NRW. S. 624),</w:t>
      </w:r>
    </w:p>
    <w:p>
      <w:r>
        <w:t xml:space="preserve">- des § 18 Absatz 1 Satz 8 des Fachhochschulgesetzes öffentlicher Dienst vom 29. Mai 1984 (GV. NRW. S. 303) und</w:t>
      </w:r>
    </w:p>
    <w:p>
      <w:r>
        <w:t xml:space="preserve">- der §§ 28 Absatz 1 und 66 Absatz 1 des Übergeleiteten Besoldungsgesetzes für das Land Nordrhein-Westfalen vom 16.Mai 2013 (GV. NRW. S. 234)</w:t>
      </w:r>
    </w:p>
    <w:p>
      <w:r>
        <w:t xml:space="preserve">verordnet das Ministerium für Inneres und Kommunales:</w:t>
      </w:r>
    </w:p>
    <w:p>
      <w:r>
        <w:rPr>
          <w:color w:val="555555"/>
          <w:sz w:val="17"/>
        </w:rPr>
        <w:t xml:space="preserve">Zitiervorschlag: Eingangsformel NW_31423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