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NW_31423 (Nordrhein-Westfalen) — Versetzung, Abordnung, Zuweisung</w:t>
      </w:r>
    </w:p>
    <w:p>
      <w:r>
        <w:rPr>
          <w:color w:val="555555"/>
          <w:sz w:val="18"/>
        </w:rPr>
        <w:t xml:space="preserve">Verordnung über beamten- und disziplinarrechtliche Zuständigkeiten im Geschäftsbereich des für Inneres zuständigen Ministeriums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Abweichend von § 1 Absatz 1 ist das Ministerium zudem zuständig in folgenden Fällen:</w:t>
      </w:r>
    </w:p>
    <w:p>
      <w:r>
        <w:t xml:space="preserve">1. Versetzung oder Abordnung an eine oberste Landes- oder Bundesbehörde,</w:t>
      </w:r>
    </w:p>
    <w:p>
      <w:r>
        <w:t xml:space="preserve">2. Versetzung, Abordnung oder Erklärung des Einverständnisses zu einer Versetzung oder Abordnung gemäß §§ 14 und 15 des Beamtenstatusgesetzes vom 17. Juni 2008 (BGBl. I S. 1010) in der jeweils geltenden Fassung oder gemäß §§ 24 und 25 des Landesbeamtengesetzes von Beamtinnen und Beamten der Laufbahngruppe 2, 2. Einstiegsamt, und</w:t>
      </w:r>
    </w:p>
    <w:p>
      <w:r>
        <w:t xml:space="preserve">3. Zuweisung nach § 20 des Beamtenstatusgesetzes.</w:t>
      </w:r>
    </w:p>
    <w:p>
      <w:r>
        <w:rPr>
          <w:color w:val="555555"/>
          <w:sz w:val="17"/>
        </w:rPr>
        <w:t xml:space="preserve">Zitiervorschlag: § 3 NW_31423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