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NW_31421 (Nordrhein-Westfalen) — Inkrafttreten, Außerkrafttreten</w:t>
      </w:r>
    </w:p>
    <w:p>
      <w:r>
        <w:rPr>
          <w:color w:val="555555"/>
          <w:sz w:val="18"/>
        </w:rPr>
        <w:t xml:space="preserve">Verordnung zur Anerkennung von Berufsqualifikationen als Laufbahnbefähigung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 Gleichzeitig tritt die Verordnung zur Anerkennung von Berufsqualifikationen als Laufbahnbefähigung vom 6. Mai 2010 (GV. NRW. S. 285) außer Kraft.</w:t>
      </w:r>
    </w:p>
    <w:p>
      <w:r>
        <w:t xml:space="preserve">Der Minister</w:t>
      </w:r>
    </w:p>
    <w:p>
      <w:r>
        <w:t xml:space="preserve">für Inneres und Kommunales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13 NW_31421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https://recht.nulegal.eu/gesetze/NW_31421/13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