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NW_31411 (Nordrhein-Westfalen) — Berichtspflicht</w:t>
      </w:r>
    </w:p>
    <w:p>
      <w:r>
        <w:rPr>
          <w:color w:val="555555"/>
          <w:sz w:val="18"/>
        </w:rPr>
        <w:t xml:space="preserve">KInvFöG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und Kreise berichten unverzüglich der zuständigen Bezirksregierung, sobald absehbar wird, dass sie die Mittel nicht vollständig in Anspruch nehmen können.</w:t>
      </w:r>
    </w:p>
    <w:p>
      <w:r>
        <w:t xml:space="preserve">Kapitel 2</w:t>
      </w:r>
    </w:p>
    <w:p>
      <w:r>
        <w:t xml:space="preserve">Finanzhilfen zur Verbesserung der Schulinfrastruktur</w:t>
      </w:r>
    </w:p>
    <w:p>
      <w:r>
        <w:t xml:space="preserve">finanzschwacher Kommunen nach Artikel 104c des Grundgesetzes</w:t>
      </w:r>
    </w:p>
    <w:p>
      <w:r>
        <w:rPr>
          <w:color w:val="555555"/>
          <w:sz w:val="17"/>
        </w:rPr>
        <w:t xml:space="preserve">Zitiervorschlag: § 9 NW_31411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https://recht.nulegal.eu/gesetze/NW_31411/9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