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NW_31411 (Nordrhein-Westfalen) — Verteilungsschlüssel</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Betrag nach § 1 Absatz 1 Satz 2 wird auf die Gemeinden und Kreise nach dem Verhältnis der Summe der Schlüsselzuweisungen der einzelnen Gemeinde oder des einzelnen Kreises für die Jahre 2011 bis 2015 zur Summe der Schlüsselzuweisungen verteilt, die alle Gemeinden und Kreise nach Maßgabe der Gemeindefinanzierungsgesetze in diesem Zeitraum erhalten haben.</w:t>
      </w:r>
    </w:p>
    <w:p>
      <w:r>
        <w:t xml:space="preserve">(2) Die Höhe der für die einzelnen Gemeinden und Kreise bereitzustellenden Mittel ergibt sich aus der Anlage zu diesem Gesetz.</w:t>
      </w:r>
    </w:p>
    <w:p>
      <w:r>
        <w:rPr>
          <w:color w:val="555555"/>
          <w:sz w:val="17"/>
        </w:rPr>
        <w:t xml:space="preserve">Zitiervorschlag: § 3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