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NW_31411 (Nordrhein-Westfalen) — Inkrafttreten, Befristung</w:t>
      </w:r>
    </w:p>
    <w:p>
      <w:r>
        <w:rPr>
          <w:color w:val="555555"/>
          <w:sz w:val="18"/>
        </w:rPr>
        <w:t xml:space="preserve">KInvFöG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 und mit Ablauf des 31. Dezember 2040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Der Justizminister</w:t>
      </w:r>
    </w:p>
    <w:p>
      <w:r>
        <w:t xml:space="preserve">zugleich für den Minister</w:t>
      </w:r>
    </w:p>
    <w:p>
      <w:r>
        <w:t xml:space="preserve">für Inneres und Kommunales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zugleich für den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zugleich für die Ministerin</w:t>
      </w:r>
    </w:p>
    <w:p>
      <w:r>
        <w:t xml:space="preserve">für Schule und Weiterbildung</w:t>
      </w:r>
    </w:p>
    <w:p>
      <w:r>
        <w:t xml:space="preserve">und den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t xml:space="preserve">und Chef der Staatskanzlei</w:t>
      </w:r>
    </w:p>
    <w:p>
      <w:r>
        <w:rPr>
          <w:color w:val="555555"/>
          <w:sz w:val="17"/>
        </w:rPr>
        <w:t xml:space="preserve">Zitiervorschlag: § 17 NW_31411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https://recht.nulegal.eu/gesetze/NW_31411/17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