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NW_31411 (Nordrhein-Westfalen) — Verteilungsschlüssel</w:t>
      </w:r>
    </w:p>
    <w:p>
      <w:r>
        <w:rPr>
          <w:color w:val="555555"/>
          <w:sz w:val="18"/>
        </w:rPr>
        <w:t xml:space="preserve">KInvFöG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Betrag nach § 10 Absatz 1 Satz 2 wird auf die nach § 10 Absatz 2 finanzschwachen Gemeinden und Kreise</w:t>
      </w:r>
    </w:p>
    <w:p>
      <w:r>
        <w:t xml:space="preserve">1. zu 60 Prozent nach dem Verhältnis der Summe der Schlüsselzuweisungen der einzelnen Gemeinde oder des einzelnen Kreises für die Jahre 2013 bis 2017 zur Summe der Schlüsselzuweisungen der gemäß § 10 Absatz 2 finanzschwachen Gemeinden und Kreise und</w:t>
      </w:r>
    </w:p>
    <w:p>
      <w:r>
        <w:t xml:space="preserve">2. zu 40 Prozent nach dem Verhältnis der Schulpauschale/Bildungspauschale der einzelnen Gemeinde oder des einzelnen Kreises nach dem Gemeindefinanzierungsgesetz 2017 zur Summe der Schulpauschalen/Bildungspauschalen der gemäß § 10 Absatz 2 finanzschwachen Gemeinden und Kreise</w:t>
      </w:r>
    </w:p>
    <w:p>
      <w:r>
        <w:t xml:space="preserve">verteilt.</w:t>
      </w:r>
    </w:p>
    <w:p>
      <w:r>
        <w:t xml:space="preserve">(2) Die Höhe der für die einzelnen Gemeinden und Kreise bereitzustellenden Mittel ergibt sich aus der Anlage „Fördermittel gemäß Kapitel 2 KInvFöG NRW“ zu diesem Gesetz.</w:t>
      </w:r>
    </w:p>
    <w:p>
      <w:r>
        <w:rPr>
          <w:color w:val="555555"/>
          <w:sz w:val="17"/>
        </w:rPr>
        <w:t xml:space="preserve">Zitiervorschlag: § 11 NW_31411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https://recht.nulegal.eu/gesetze/NW_31411/11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