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NW_31336 (Nordrhein-Westfalen)</w:t>
      </w:r>
    </w:p>
    <w:p>
      <w:r>
        <w:rPr>
          <w:color w:val="555555"/>
          <w:sz w:val="18"/>
        </w:rPr>
        <w:t xml:space="preserve">HebGO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Juni 2015</w:t>
      </w:r>
    </w:p>
    <w:p>
      <w:r>
        <w:t xml:space="preserve">Auf Grund des § 2 Abs. 2 des Landeshebammengesetzes vom 5. März 2002 (GV. NRW. S. 102) verordnet das Ministerium für Gesundheit, Emanzipation, Pflege und Alter im Einvernehmen mit dem Finanzministerium:</w:t>
      </w:r>
    </w:p>
    <w:p>
      <w:r>
        <w:rPr>
          <w:color w:val="555555"/>
          <w:sz w:val="17"/>
        </w:rPr>
        <w:t xml:space="preserve">Zitiervorschlag: Eingangsformel NW_31336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