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NW_31336 (Nordrhein-Westfalen) — Inkrafttreten, Außerkrafttreten</w:t>
      </w:r>
    </w:p>
    <w:p>
      <w:r>
        <w:rPr>
          <w:color w:val="555555"/>
          <w:sz w:val="18"/>
        </w:rPr>
        <w:t xml:space="preserve">HebGO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 und gilt für ab diesem Zeitpunkt erbrachte Leistungen.</w:t>
      </w:r>
    </w:p>
    <w:p>
      <w:r>
        <w:t xml:space="preserve">(2) Mit Inkrafttreten dieser Verordnung tritt die Hebammengebührenordnung Nordrhein-Westfalen vom 13. September 2011 (GV. NRW. S. 476), die zuletzt durch Verordnung vom 20. April 2015 (GV. NRW. S. 352) geändert worden ist, außer Kraft.</w:t>
      </w:r>
    </w:p>
    <w:p>
      <w:r>
        <w:rPr>
          <w:color w:val="555555"/>
          <w:sz w:val="17"/>
        </w:rPr>
        <w:t xml:space="preserve">Zitiervorschlag: § 3 NW_31336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https://recht.nulegal.eu/gesetze/NW_31336/3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