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NW_31336 (Nordrhein-Westfalen) — Abrechnung der Vergütung</w:t>
      </w:r>
    </w:p>
    <w:p>
      <w:r>
        <w:rPr>
          <w:color w:val="555555"/>
          <w:sz w:val="18"/>
        </w:rPr>
        <w:t xml:space="preserve">HebGO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Zahlungspflichtigen ist eine dieser Verordnung entsprechende Rechnung zu erteilen. Andere Rechnungen begründen nicht die Fälligkeit der Vergütung.</w:t>
      </w:r>
    </w:p>
    <w:p>
      <w:r>
        <w:t xml:space="preserve">(2) In der Rechnung sind die berechneten Leistungen mit ihrem jeweiligen Datum und, soweit dies für die Höhe der Vergütung von Bedeutung ist, auch mit Zeit und Dauer der abgerechneten Leistungen anzugeben. Ist im Leistungsverzeichnis (Anlage zum Vertrag nach § 134a des Fünften Buches Sozialgesetzbuch) eine ärztliche Anordnung vorgeschrieben, so ist diese der Rechnung beizufügen.</w:t>
      </w:r>
    </w:p>
    <w:p>
      <w:r>
        <w:rPr>
          <w:color w:val="555555"/>
          <w:sz w:val="17"/>
        </w:rPr>
        <w:t xml:space="preserve">Zitiervorschlag: § 2 NW_31336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https://recht.nulegal.eu/gesetze/NW_31336/2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