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NW_31334 (Nordrhein-Westfalen) — Dauer der Werbung</w:t>
      </w:r>
    </w:p>
    <w:p>
      <w:r>
        <w:rPr>
          <w:color w:val="555555"/>
          <w:sz w:val="18"/>
        </w:rPr>
        <w:t xml:space="preserve">Werbesatzung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§ 45 Absatz 1 RStV findet keine Anwendung.</w:t>
      </w:r>
    </w:p>
    <w:p>
      <w:r>
        <w:t xml:space="preserve">(2) § 7 Absatz 4 Satz 2 RStV findet keine Anwendung.</w:t>
      </w:r>
    </w:p>
    <w:p>
      <w:r>
        <w:rPr>
          <w:color w:val="555555"/>
          <w:sz w:val="17"/>
        </w:rPr>
        <w:t xml:space="preserve">Zitiervorschlag: § 3 NW_31334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https://recht.nulegal.eu/gesetze/NW_31334/3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