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NW_31332 (Nordrhein-Westfalen)</w:t>
      </w:r>
    </w:p>
    <w:p>
      <w:r>
        <w:rPr>
          <w:color w:val="555555"/>
          <w:sz w:val="18"/>
        </w:rPr>
        <w:t xml:space="preserve">ZustVO-ÖSPV-EW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Zuständigkeiten für nichtöffentliche Eisenbahnen, die Einrichtungen im Sinne des § 2 Absatz 1 Nummer 3 des Bundesberggesetzes vom 13. August 1980 (BGBl. I S. 1310), das zuletzt durch Artikel 4 Absatz 71 des Gesetzes vom 7. August 2013 (BGBl. I S. 3154) geändert worden ist, sind und an die andere Eisenbahninfrastrukturen anschließen (Grubenanschlussbahnen), bleiben unberührt. Gleisanlagen, die in einem Tagebau verlegt werden, gelten nicht als Grubenanschlussbahnen.</w:t>
      </w:r>
    </w:p>
    <w:p>
      <w:r>
        <w:t xml:space="preserve">Abschnitt 3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7 NW_31332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