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NW_31332 (Nordrhein-Westfalen)</w:t>
      </w:r>
    </w:p>
    <w:p>
      <w:r>
        <w:rPr>
          <w:color w:val="555555"/>
          <w:sz w:val="18"/>
        </w:rPr>
        <w:t xml:space="preserve">ZustVO-ÖSPV-EW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Verkehrswesen zuständige Ministerium ist</w:t>
      </w:r>
    </w:p>
    <w:p>
      <w:r>
        <w:t xml:space="preserve">1. Aufsichts- und Genehmigungsbehörde nach § 5 Absatz 2 Satz 1 des Allgemeinen Eisenbahngesetzes vom 27. Dezember 1993 (BGBl. I S. 2378, 2396; 1994 I S. 2439), das zuletzt durch Artikel 4 Absatz 120 des Gesetzes vom 7. August 2013 (BGBl. I S. 3154) geändert worden ist, in Verbindung mit § 5 Absatz 1a Nummer 2 und Absatz 1b des Allgemeinen Eisenbahngesetzes für nichtbundeseigene Eisenbahnen,</w:t>
      </w:r>
    </w:p>
    <w:p>
      <w:r>
        <w:t xml:space="preserve">2. Aufsichtsbehörde nach § 5 Absatz 1c des Allgemeinen Eisenbahngesetzes für Eisenbahnen, soweit diese eine Eisenbahninfrastruktur benutzen, die der Aufsicht nach Nummer 1 unterfällt,</w:t>
      </w:r>
    </w:p>
    <w:p>
      <w:r>
        <w:t xml:space="preserve">3. zuständig für eine Übertragung der Eisenbahnaufsichts- und Eisenbahngenehmigungsbefugnisse und für die Weisungsbefugnisse nach § 5 Absatz 2 Satz 2 des Allgemeinen Eisenbahngesetzes,</w:t>
      </w:r>
    </w:p>
    <w:p>
      <w:r>
        <w:t xml:space="preserve">4. zuständig für die Erteilung des nach § 11 Absatz 2 Satz 2 des Allgemeinen Eisenbahngesetzes notwendigen Benehmens,</w:t>
      </w:r>
    </w:p>
    <w:p>
      <w:r>
        <w:t xml:space="preserve">5. zuständig für die Entscheidung nach § 13 Absatz 2 Allgemeines Eisenbahngesetz,</w:t>
      </w:r>
    </w:p>
    <w:p>
      <w:r>
        <w:t xml:space="preserve">6. zuständige Landesbehörde nach § 1 Absatz 2 Nummer 2, § 2 Absatz 4 Nummer 2, § 3 Absatz 1 Nummer 1 Buchstabe b und Nummer 2 Buchstabe b, Absatz 2 Nummer 2 und § 35 Absatz 3 Nummer 2 der Eisenbahn-Bau- und Betriebsordnung vom 8. Mai 1967 (BGBl. 1967 II S. 1563), die zuletzt durch Artikel 1 der Verordnung vom 25. Juli 2012 (BGBl. I S. 1703) geändert worden ist,</w:t>
      </w:r>
    </w:p>
    <w:p>
      <w:r>
        <w:t xml:space="preserve">7. zuständige Behörde nach § 3 Absatz 1 Nummer 1 Buchstabe a und b und Nummer 2 Buchstabe b, Absatz 2 Nummer 2 und § 35 Absatz 3 Nummer 2 der Eisenbahn-Bau- und Betriebsordnung für Schmalspurbahnen vom 25. Februar 1972 (BGBl. I S. 269), die zuletzt durch Artikel 2 der Verordnung vom 25. Juli 2012 (BGBl. I S. 1703) geändert worden ist, und</w:t>
      </w:r>
    </w:p>
    <w:p>
      <w:r>
        <w:t xml:space="preserve">8. zuständige Behörde nach Abschnitt A Absatz 3 Nummer 2, Absatz 4 und Absatz 5 der Eisenbahn-Signalordnung 1959 in der im Bundesgesetzblatt Teil III, Gliederungsnummer 933-6, veröffentlichten bereinigten Fassung, die zuletzt durch Artikel 498 der Verordnung vom 31. Oktober 2006 (BGBl. I S. 2407) geändert worden ist.</w:t>
      </w:r>
    </w:p>
    <w:p>
      <w:r>
        <w:rPr>
          <w:color w:val="555555"/>
          <w:sz w:val="17"/>
        </w:rPr>
        <w:t xml:space="preserve">Zitiervorschlag: § 5 NW_31332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