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NW_31332 (Nordrhein-Westfalen)</w:t>
      </w:r>
    </w:p>
    <w:p>
      <w:r>
        <w:rPr>
          <w:color w:val="555555"/>
          <w:sz w:val="18"/>
        </w:rPr>
        <w:t xml:space="preserve">ZustVO-ÖSPV-EW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der Landesregierung durch § 47 Absatz 3 Satz 1 und § 51 Absatz 1 Satz 1 des Personenbeförderungsgesetzes erteilten Ermächtigungen zum Erlass von Rechtsverordnungen</w:t>
      </w:r>
    </w:p>
    <w:p>
      <w:r>
        <w:t xml:space="preserve">1. über den Umfang der Betriebspflicht, die Ordnung auf Taxiständen sowie Einzelheiten des Dienstbetriebes und</w:t>
      </w:r>
    </w:p>
    <w:p>
      <w:r>
        <w:t xml:space="preserve">2. zur Festsetzung von Beförderungsbedingungen und Beförderungsentgelten für den Gelegenheitsverkehr mit Taxen</w:t>
      </w:r>
    </w:p>
    <w:p>
      <w:r>
        <w:t xml:space="preserve">werden auf die Kreise und kreisfreien Städte übertragen.</w:t>
      </w:r>
    </w:p>
    <w:p>
      <w:r>
        <w:t xml:space="preserve">Abschnitt 2</w:t>
      </w:r>
    </w:p>
    <w:p>
      <w:r>
        <w:t xml:space="preserve">Eisenbahnwesen</w:t>
      </w:r>
    </w:p>
    <w:p>
      <w:r>
        <w:rPr>
          <w:color w:val="555555"/>
          <w:sz w:val="17"/>
        </w:rPr>
        <w:t xml:space="preserve">Zitiervorschlag: § 4 NW_31332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https://recht.nulegal.eu/gesetze/NW_31332/4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