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Kreise und kreisfreien Städte sind</w:t>
      </w:r>
    </w:p>
    <w:p>
      <w:r>
        <w:t xml:space="preserve">1. Genehmigungsbehörden im Gelegenheitsverkehr mit Personenkraftwagen nach § 11 Absatz 1 des Personenbeförderungsgesetzes in Verbindung mit § 2 Absatz 1 Nummer 4 des Personenbeförderungsgesetzes,</w:t>
      </w:r>
    </w:p>
    <w:p>
      <w:r>
        <w:t xml:space="preserve">2. zuständig für die Zulassung von Ausnahmen in Einzelfällen bei der unter Nummer 1 genannten Verkehrsart nach § 3 Absatz 2 Satz 2 des Personenbeförderungsgesetzes,</w:t>
      </w:r>
    </w:p>
    <w:p>
      <w:r>
        <w:t xml:space="preserve">3. zuständig nach § 43 Absatz 1 Satz 1 der Verordnung über den Betrieb von Kraftfahrunternehmen im Personenverkehr für die Genehmigung von Ausnahmen von den Vorschriften der § 25 Absatz 1 und 2 und § 26 Absatz 2, § 29 und § 30 Absatz 1,</w:t>
      </w:r>
    </w:p>
    <w:p>
      <w:r>
        <w:t xml:space="preserve">4. zuständig für die Entgegennahme des Prüfbuchs nach § 41 Absatz 2 der Verordnung über den Betrieb von Kraftfahrunternehmen im Personenverkehr von Unternehmen, die im Gebiet der kreisfreien Stadt oder des Kreises ihren Sitz haben, und</w:t>
      </w:r>
    </w:p>
    <w:p>
      <w:r>
        <w:t xml:space="preserve">5. zuständige Verwaltungsbehörden im Sinne von § 36 Absatz 1 Nummer 1 des Gesetzes über Ordnungswidrigkeiten in der Fassung der Bekanntmachung vom 19. Februar 1987 (BGBl. I S. 602), das zuletzt durch Artikel 18 des Gesetzes vom 10. Oktober 2013 (BGBl. I S. 3786) geändert worden ist, in Verbindung mit § 61 Absatz 3 des Personenbeförderungsgesetzes in den Fällen des § 45 Absatz 1 Nummer 5 Buchstabe r der Verordnung über den Betrieb von Kraftfahrunternehmen im Personenverkehr, soweit das Prüfbuch nicht vorgelegt wird.</w:t>
      </w:r>
    </w:p>
    <w:p>
      <w:r>
        <w:rPr>
          <w:color w:val="555555"/>
          <w:sz w:val="17"/>
        </w:rPr>
        <w:t xml:space="preserve">Zitiervorschlag: § 3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