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NW_31328 (Nordrhein-Westfalen)</w:t>
      </w:r>
    </w:p>
    <w:p>
      <w:r>
        <w:rPr>
          <w:color w:val="555555"/>
          <w:sz w:val="18"/>
        </w:rPr>
        <w:t xml:space="preserve">Ordnungsbehördliche Verordnung zur Umsetzung der Richtlinie (EU) 2016/802 des Europäischen Parlaments und des Rates vom 11. Mai 2016 über eine Verringerung des Schwefelgehalts bestimmter flüssiger Kraft- oder Brennstoffe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Ordnungsbehördliche Verordnung zur Umsetzung der Richtlinie (EU) 2016/802 des</w:t>
      </w:r>
    </w:p>
    <w:p>
      <w:r>
        <w:t xml:space="preserve">Europäischen Parlaments und des Rates vom 11. Mai 2016 über eine Verringerung</w:t>
      </w:r>
    </w:p>
    <w:p>
      <w:r>
        <w:t xml:space="preserve">des Schwefelgehalts bestimmter flüssiger Kraft- oder Brennstoffe</w:t>
      </w:r>
    </w:p>
    <w:p>
      <w:r>
        <w:t xml:space="preserve">Vom 1. Juni 2015</w:t>
      </w:r>
    </w:p>
    <w:p>
      <w:r>
        <w:t xml:space="preserve">Auf Grund des § 26 Absatz 1, des § 30 und des § 31 des Ordnungsbehördengesetzes in der Fassung der Bekanntmachung vom 13. Mai 1980 (GV. NRW. S. 528), von denen § 26 Absatz 1 durch Artikel 3 des Gesetzes vom 15. Oktober 1993 (GV. NRW. S. 987) geändert worden ist, verordnet das Ministerium für Klimaschutz, Umwelt, Landwirtschaft, Natur- und Verbraucherschutz im Benehmen mit dem Ministerium für Bauen, Wohnen, Stadtentwicklung und Verkehr und dem Ministerium für Inneres und Kommunales:</w:t>
      </w:r>
    </w:p>
    <w:p>
      <w:r>
        <w:rPr>
          <w:color w:val="555555"/>
          <w:sz w:val="17"/>
        </w:rPr>
        <w:t xml:space="preserve">Zitiervorschlag: Volltext NW_31328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https://recht.nulegal.eu/gesetze/NW_31328/volltext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