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NW_31328 (Nordrhein-Westfalen) — Ordnungswidrigkeiten</w:t>
      </w:r>
    </w:p>
    <w:p>
      <w:r>
        <w:rPr>
          <w:color w:val="555555"/>
          <w:sz w:val="18"/>
        </w:rPr>
        <w:t xml:space="preserve">Ordnungsbehördliche Verordnung zur Umsetzung der Richtlinie (EU) 2016/802 des Europäischen Parlaments und des Rates vom 11. Mai 2016 über eine Verringerung des Schwefelgehalts bestimmter flüssiger Kraft- oder Brennstoffe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entgegen § 2 Schiffskraftstoffe mit einem Schwefelgehalt von mehr als 0,10 Massenhundertteilen verwendet,</w:t>
      </w:r>
    </w:p>
    <w:p>
      <w:r>
        <w:t xml:space="preserve">2. entgegen § 2 Absatz 3 Satz 1 Papiere nicht, nicht richtig, nicht vollständig oder nicht rechtzeitig vorlegt,</w:t>
      </w:r>
    </w:p>
    <w:p>
      <w:r>
        <w:t xml:space="preserve">3. entgegen § 2 Absatz 3 Satz 2 eine Erlaubnis nicht, nicht vollständig oder nicht rechtzeitig vorlegt,</w:t>
      </w:r>
    </w:p>
    <w:p>
      <w:r>
        <w:t xml:space="preserve">4. entgegen § 2 Absatz 3 Satz 3 die Entnahme von Proben oder die Herausgabe der gezogenen Probe verweigert oder</w:t>
      </w:r>
    </w:p>
    <w:p>
      <w:r>
        <w:t xml:space="preserve">5. einer vollziehbaren Anordnung nach § 3 nicht, nicht richtig, nicht vollständig oder nicht rechtzeitig nachkommt.</w:t>
      </w:r>
    </w:p>
    <w:p>
      <w:r>
        <w:t xml:space="preserve">(2) Die Ordnungswidrigkeit kann mit einer Geldbuße von bis zu fünftausend Euro geahndet werden.</w:t>
      </w:r>
    </w:p>
    <w:p>
      <w:r>
        <w:rPr>
          <w:color w:val="555555"/>
          <w:sz w:val="17"/>
        </w:rPr>
        <w:t xml:space="preserve">Zitiervorschlag: § 4 NW_31328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https://recht.nulegal.eu/gesetze/NW_31328/4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