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NW_31328 (Nordrhein-Westfalen) — Anordnungen</w:t>
      </w:r>
    </w:p>
    <w:p>
      <w:r>
        <w:rPr>
          <w:color w:val="555555"/>
          <w:sz w:val="18"/>
        </w:rPr>
        <w:t xml:space="preserve">Ordnungsbehördliche Verordnung zur Umsetzung der Richtlinie (EU) 2016/802 des Europäischen Parlaments und des Rates vom 11. Mai 2016 über eine Verringerung des Schwefelgehalts bestimmter flüssiger Kraft- oder Brennstoffe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Erfüllung der sich aus dieser Verordnung ergebenden Pflichten kann die zuständige Behörde Anordnungen treffen.</w:t>
      </w:r>
    </w:p>
    <w:p>
      <w:r>
        <w:rPr>
          <w:color w:val="555555"/>
          <w:sz w:val="17"/>
        </w:rPr>
        <w:t xml:space="preserve">Zitiervorschlag: § 3 NW_31328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https://recht.nulegal.eu/gesetze/NW_31328/3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