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NW_31298 (Nordrhein-Westfalen)</w:t>
      </w:r>
    </w:p>
    <w:p>
      <w:r>
        <w:rPr>
          <w:color w:val="555555"/>
          <w:sz w:val="18"/>
        </w:rPr>
        <w:t xml:space="preserve">WPrZÖGW-VO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April 2015</w:t>
      </w:r>
    </w:p>
    <w:p>
      <w:r>
        <w:t xml:space="preserve">Auf Grund des § 46 des Heilberufsgesetzes vom 9. Mai 2000 (GV. NRW. S. 403) verordnet das Ministerium für Gesundheit, Emanzipation, Pflege und Alter:</w:t>
      </w:r>
    </w:p>
    <w:p>
      <w:r>
        <w:t xml:space="preserve">Inhaltsübersicht</w:t>
      </w:r>
    </w:p>
    <w:p>
      <w:r>
        <w:t xml:space="preserve">Teil 1</w:t>
      </w:r>
    </w:p>
    <w:p>
      <w:r>
        <w:t xml:space="preserve">Weiterbildung</w:t>
      </w:r>
    </w:p>
    <w:p>
      <w:r>
        <w:t xml:space="preserve">§ 1 Zweck</w:t>
      </w:r>
    </w:p>
    <w:p>
      <w:r>
        <w:t xml:space="preserve">§ 2 Inhalt der Weiterbildung</w:t>
      </w:r>
    </w:p>
    <w:p>
      <w:r>
        <w:t xml:space="preserve">§ 3 Voraussetzungen und Dauer der Weiterbildung</w:t>
      </w:r>
    </w:p>
    <w:p>
      <w:r>
        <w:t xml:space="preserve">§ 4 Weiterbildungsstätten</w:t>
      </w:r>
    </w:p>
    <w:p>
      <w:r>
        <w:t xml:space="preserve">§ 5 Ermächtigung zur Weiterbildung</w:t>
      </w:r>
    </w:p>
    <w:p>
      <w:r>
        <w:t xml:space="preserve">§ 6 Zeugnisse</w:t>
      </w:r>
    </w:p>
    <w:p>
      <w:r>
        <w:t xml:space="preserve">Teil 2</w:t>
      </w:r>
    </w:p>
    <w:p>
      <w:r>
        <w:t xml:space="preserve">Prüfung</w:t>
      </w:r>
    </w:p>
    <w:p>
      <w:r>
        <w:t xml:space="preserve">§ 7 Allgemeines</w:t>
      </w:r>
    </w:p>
    <w:p>
      <w:r>
        <w:t xml:space="preserve">§ 8 Bildung und Aufgaben des Prüfungsausschusses</w:t>
      </w:r>
    </w:p>
    <w:p>
      <w:r>
        <w:t xml:space="preserve">§ 9 Zulassung zur Prüfung</w:t>
      </w:r>
    </w:p>
    <w:p>
      <w:r>
        <w:t xml:space="preserve">§ 10 Prüfungstermine</w:t>
      </w:r>
    </w:p>
    <w:p>
      <w:r>
        <w:t xml:space="preserve">§ 11 Prüfungsfächer</w:t>
      </w:r>
    </w:p>
    <w:p>
      <w:r>
        <w:t xml:space="preserve">§ 12 Mündliche Prüfung</w:t>
      </w:r>
    </w:p>
    <w:p>
      <w:r>
        <w:t xml:space="preserve">§ 13 Bestehen und Wiederholung der Prüfung</w:t>
      </w:r>
    </w:p>
    <w:p>
      <w:r>
        <w:t xml:space="preserve">§ 14 Erkrankung, Rücktritt, Versäumnis, Ordnungsverstoß</w:t>
      </w:r>
    </w:p>
    <w:p>
      <w:r>
        <w:t xml:space="preserve">§ 15 Niederschrift</w:t>
      </w:r>
    </w:p>
    <w:p>
      <w:r>
        <w:t xml:space="preserve">§ 16 Entscheidung über Rechtsbehelfe</w:t>
      </w:r>
    </w:p>
    <w:p>
      <w:r>
        <w:t xml:space="preserve">Teil 3</w:t>
      </w:r>
    </w:p>
    <w:p>
      <w:r>
        <w:t xml:space="preserve">Schlussvorschriften</w:t>
      </w:r>
    </w:p>
    <w:p>
      <w:r>
        <w:t xml:space="preserve">§ 17 Inkrafttreten</w:t>
      </w:r>
    </w:p>
    <w:p>
      <w:r>
        <w:t xml:space="preserve">Teil 1</w:t>
      </w:r>
    </w:p>
    <w:p>
      <w:r>
        <w:t xml:space="preserve">Weiterbildung</w:t>
      </w:r>
    </w:p>
    <w:p>
      <w:r>
        <w:rPr>
          <w:color w:val="555555"/>
          <w:sz w:val="17"/>
        </w:rPr>
        <w:t xml:space="preserve">Zitiervorschlag: Volltext NW_31298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