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NW_31298 (Nordrhein-Westfalen) — Zeugnisse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oder der Weiterbildungsermächtigte stellt über die bei ihr oder bei ihm abgeleistete Tätigkeit ein Zeugnis aus.</w:t>
      </w:r>
    </w:p>
    <w:p>
      <w:r>
        <w:t xml:space="preserve">(2) Das Zeugnis muss Angaben über</w:t>
      </w:r>
    </w:p>
    <w:p>
      <w:r>
        <w:t xml:space="preserve">1. das Beschäftigungsverhältnis an der Weiterbildungsstätte,</w:t>
      </w:r>
    </w:p>
    <w:p>
      <w:r>
        <w:t xml:space="preserve">2. die Beschäftigungszeit,</w:t>
      </w:r>
    </w:p>
    <w:p>
      <w:r>
        <w:t xml:space="preserve">3. die Verteilung der Beschäftigungszeit im Hinblick auf wahrgenommene Funktionen oder Aufgaben und</w:t>
      </w:r>
    </w:p>
    <w:p>
      <w:r>
        <w:t xml:space="preserve">4. Zeiten einer Unterbrechung (§ 3 Absatz 5)</w:t>
      </w:r>
    </w:p>
    <w:p>
      <w:r>
        <w:t xml:space="preserve">enthalten. Der Weiterbildungsgang muss schriftlich dargelegt sein. Hierfür sind die erworbenen Kenntnisse, Fähigkeiten und Fertigkeiten ausführlich zu schildern, nach Art, Schwierigkeitsgrad und Umfang aufzuführen und zu beurteilen.</w:t>
      </w:r>
    </w:p>
    <w:p>
      <w:r>
        <w:t xml:space="preserve">(3) Zeugnisse, die im Rahmen einer zahnärztlichen Weiterbildung für ein anderes Gebiet ausgestellt worden sind, gelten als Zeugnisse im Sinne des Absatzes 1.</w:t>
      </w:r>
    </w:p>
    <w:p>
      <w:r>
        <w:t xml:space="preserve">Teil 2</w:t>
      </w:r>
    </w:p>
    <w:p>
      <w:r>
        <w:t xml:space="preserve">Prüfung</w:t>
      </w:r>
    </w:p>
    <w:p>
      <w:r>
        <w:rPr>
          <w:color w:val="555555"/>
          <w:sz w:val="17"/>
        </w:rPr>
        <w:t xml:space="preserve">Zitiervorschlag: § 6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