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NW_31293 (Nordrhein-Westfalen) — Zulassungsvoraussetzungen</w:t>
      </w:r>
    </w:p>
    <w:p>
      <w:r>
        <w:rPr>
          <w:color w:val="555555"/>
          <w:sz w:val="18"/>
        </w:rPr>
        <w:t xml:space="preserve">APO-SMA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Ausbildung kann zugelassen werden, wer</w:t>
      </w:r>
    </w:p>
    <w:p>
      <w:r>
        <w:t xml:space="preserve">1. die Ausbildung als Gesundheits- und Krankenpflegerin, Gesundheits- und Krankenpfleger, Gesundheits- und Kinderkrankenpflegerin, Gesundheits- und Kinderkrankenpfleger, Hebamme, Entbindungspfleger oder eine andere gleichwertige Ausbildung erfolgreich abgeschlossen hat und</w:t>
      </w:r>
    </w:p>
    <w:p>
      <w:r>
        <w:t xml:space="preserve">2. die körperliche und persönliche Eignung zur Ausübung des Berufes besitzt.</w:t>
      </w:r>
    </w:p>
    <w:p>
      <w:r>
        <w:rPr>
          <w:color w:val="555555"/>
          <w:sz w:val="17"/>
        </w:rPr>
        <w:t xml:space="preserve">Zitiervorschlag: § 5 NW_31293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