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NW_31272 (Nordrhein-Westfalen) — Leitung und Vertretung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Leiterin/Leiter der Versorgungskassen ist die Direktorin/der Direktor des Landschaftsverbandes Westfalen-Lippe.</w:t>
      </w:r>
    </w:p>
    <w:p>
      <w:r>
        <w:t xml:space="preserve">(2) Zur Erledigung der Geschäfte der laufenden Verwaltung bestellt die Leiterin/der Leiter der Versorgungskassen nach Anhören des Verwaltungsrates eine Geschäftsführerin/einen Geschäftsführer sowie deren/dessen Stellvertreterin/Stellvertreter.</w:t>
      </w:r>
    </w:p>
    <w:p>
      <w:r>
        <w:t xml:space="preserve">(3) Die Geschäftsführerin/der Geschäftsführer ist die gesetzliche Vertreterin/der gesetzliche Vertreter der Versorgungskassen, soweit die Leiterin/der Leiter die Vertretung sich nicht im Einzelfall vorbehält.</w:t>
      </w:r>
    </w:p>
    <w:p>
      <w:r>
        <w:t xml:space="preserve">Teil 5</w:t>
      </w:r>
    </w:p>
    <w:p>
      <w:r>
        <w:t xml:space="preserve">Finanzwirtschaft</w:t>
      </w:r>
    </w:p>
    <w:p>
      <w:r>
        <w:rPr>
          <w:color w:val="555555"/>
          <w:sz w:val="17"/>
        </w:rPr>
        <w:t xml:space="preserve">Zitiervorschlag: § 7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