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NW_31272 (Nordrhein-Westfalen) — Inkrafttreten/Außerkrafttreten</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1Diese Satzung tritt mit Wirkung vom 1. Januar 2015 in Kraft. 2Zum gleichen Zeitpunkt tritt die Satzung vom 24. November 2010 (GV. NRW. 2011 S. 10) die zuletzt durch Satzung vom 4. Dezember 2013 (GV. NRW. 2014 S. 177) geändert worden ist, außer Kraft.</w:t>
      </w:r>
    </w:p>
    <w:p>
      <w:r>
        <w:t xml:space="preserve">J a c o b i</w:t>
      </w:r>
    </w:p>
    <w:p>
      <w:r>
        <w:t xml:space="preserve">Vorsitzender des Verwaltungsrates</w:t>
      </w:r>
    </w:p>
    <w:p>
      <w:r>
        <w:t xml:space="preserve">R a s c h d o r f</w:t>
      </w:r>
    </w:p>
    <w:p>
      <w:r>
        <w:t xml:space="preserve">Schriftführerin</w:t>
      </w:r>
    </w:p>
    <w:p>
      <w:r>
        <w:rPr>
          <w:color w:val="555555"/>
          <w:sz w:val="17"/>
        </w:rPr>
        <w:t xml:space="preserve">Zitiervorschlag: § 54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