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NW_31272 (Nordrhein-Westfalen) — Aufgaben des Verwaltungsrates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1Der Verwaltungsrat beschließt über grundsätzliche Angelegenheiten. 2Hierzu gehören insbesondere</w:t>
      </w:r>
    </w:p>
    <w:p>
      <w:r>
        <w:t xml:space="preserve">1. die Satzung und ihre Änderungen,</w:t>
      </w:r>
    </w:p>
    <w:p>
      <w:r>
        <w:t xml:space="preserve">2. der Beschluss über die Feststellung und Änderung des Wirtschaftsplanes, die Feststellung des Jahresabschlusses sowie die Entlastung der Leiterin/des Leiters der Kassen und der Geschäftsführerin/des Geschäftsführers,</w:t>
      </w:r>
    </w:p>
    <w:p>
      <w:r>
        <w:t xml:space="preserve">3. die Aufnahme, Kündigung und vorzeitige Entlassung freiwilliger Mitglieder,</w:t>
      </w:r>
    </w:p>
    <w:p>
      <w:r>
        <w:t xml:space="preserve">4. die Bestellung einer Wirtschaftsprüferin/eines Wirtschaftsprüfers oder einer Wirtschaftsprüfungsgesellschaft,</w:t>
      </w:r>
    </w:p>
    <w:p>
      <w:r>
        <w:t xml:space="preserve">5. die Zustimmung zum Erlass von Durchführungsvorschriften,</w:t>
      </w:r>
    </w:p>
    <w:p>
      <w:r>
        <w:t xml:space="preserve">6. die Anhörung zur Bestellung einer Geschäftsführerin/eines Geschäftsführers und</w:t>
      </w:r>
    </w:p>
    <w:p>
      <w:r>
        <w:t xml:space="preserve">7. die Erklärung über das Einvernehmen zu Satzungsregelungen der kvw-Zusatzversorgung in Fragen der Organisation und der Finanzverfassung.</w:t>
      </w:r>
    </w:p>
    <w:p>
      <w:r>
        <w:rPr>
          <w:color w:val="555555"/>
          <w:sz w:val="17"/>
        </w:rPr>
        <w:t xml:space="preserve">Zitiervorschlag: § 5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