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NW_31272 (Nordrhein-Westfalen) — Übergangsvorschriften zur kvw-Beihilfekasse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Gründungsjahr der kvw-Beihilfekasse und das Folgejahr sind für die Feststellung der Umlage die Umlagebemessungsgrundlagen nach dem Stand am 1. Juli des jeweiligen Wirtschaftsjahres maßgebend.</w:t>
      </w:r>
    </w:p>
    <w:p>
      <w:r>
        <w:t xml:space="preserve">(2) Abweichend von § 32 Absatz 1 Nummer 5 und abweichend von § 43 Absatz 2 kann in den ersten fünf Jahren des Bestehens der kvw-Beihilfekasse jeder Überschuss aus der Beihilfeumlage zur Aufstockung der Rücklage verwendet werden.</w:t>
      </w:r>
    </w:p>
    <w:p>
      <w:r>
        <w:rPr>
          <w:color w:val="555555"/>
          <w:sz w:val="17"/>
        </w:rPr>
        <w:t xml:space="preserve">Zitiervorschlag: § 49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