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NW_31272 (Nordrhein-Westfalen) — Beendigung der Mitgliedschaft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Mitgliedschaft zur Verwaltung der Versorgungsrücklage kann unter Wahrung einer Frist von zwei Monaten jeweils zum Quartalsende schriftlich gekündigt werden.</w:t>
      </w:r>
    </w:p>
    <w:p>
      <w:r>
        <w:t xml:space="preserve">Teil 14</w:t>
      </w:r>
    </w:p>
    <w:p>
      <w:r>
        <w:t xml:space="preserve">Übergangs- und Schlussbestimmungen</w:t>
      </w:r>
    </w:p>
    <w:p>
      <w:r>
        <w:rPr>
          <w:color w:val="555555"/>
          <w:sz w:val="17"/>
        </w:rPr>
        <w:t xml:space="preserve">Zitiervorschlag: § 48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