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NW_31272 (Nordrhein-Westfalen) — Beginn der Beihilfegewährung</w:t>
      </w:r>
    </w:p>
    <w:p>
      <w:r>
        <w:rPr>
          <w:color w:val="555555"/>
          <w:sz w:val="18"/>
        </w:rPr>
        <w:t xml:space="preserve">kvw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1Mit Beginn der Mitgliedschaft setzt die Beihilfegewährung ein. 2Wird die Beihilfeleistung im Umlageverfahren abgewickelt, kann die kvw-Beihilfekasse die Übernahme von Beihilfeleistungen ablehnen, wenn der Beihilfeanspruch vor der Aufnahme in die Beihilfekasse begründet wurde.</w:t>
      </w:r>
    </w:p>
    <w:p>
      <w:r>
        <w:rPr>
          <w:color w:val="555555"/>
          <w:sz w:val="17"/>
        </w:rPr>
        <w:t xml:space="preserve">Zitiervorschlag: § 37 NW_31272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https://recht.nulegal.eu/gesetze/NW_31272/37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