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NW_31272 (Nordrhein-Westfalen) — Sonderrücklage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1Es kann eine Sonderrücklage gebildet werden. 2Die Bestände dieser Rücklage können zur Reduzierung des Umlagebedarfs eingesetzt werden, um den Anstieg der Zahlungsverpflichtungen der Mitglieder zu begrenzen. 3Als obere Grenze (Soll-Bestand) wird ein Fünftel des Jahresbetrages des von der kvw-Beamtenversorgung zu leistenden Versorgungsaufwandes nach dem jeweils vorangegangenen Wirtschaftsjahr bestimmt.</w:t>
      </w:r>
    </w:p>
    <w:p>
      <w:r>
        <w:t xml:space="preserve">(2) In die Sonderrücklage fließen bis zur Erreichung des Sollbestandes</w:t>
      </w:r>
    </w:p>
    <w:p>
      <w:r>
        <w:t xml:space="preserve">1. Erstattungen von Dritten, soweit diese nicht in die Umlage- beziehungsweise Erstattungsregelung einbezogen werden,</w:t>
      </w:r>
    </w:p>
    <w:p>
      <w:r>
        <w:t xml:space="preserve">2. Alterszuschläge und</w:t>
      </w:r>
    </w:p>
    <w:p>
      <w:r>
        <w:t xml:space="preserve">3. Vermögenserträge, soweit diese auf Mitglieder entfallen, die an der Umlage beteiligt sind.</w:t>
      </w:r>
    </w:p>
    <w:p>
      <w:r>
        <w:t xml:space="preserve">(3) Zu ihrer Ergänzung können im Wirtschaftsplan weitere Beträge vorgesehen werden.</w:t>
      </w:r>
    </w:p>
    <w:p>
      <w:r>
        <w:rPr>
          <w:color w:val="555555"/>
          <w:sz w:val="17"/>
        </w:rPr>
        <w:t xml:space="preserve">Zitiervorschlag: § 34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