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NW_31272 (Nordrhein-Westfalen) — Allgemeine Rücklage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Sicherung der Liquidität (rechtzeitige Leistung von Ausgaben) ist bis zur Höhe der durchschnittlichen einfachen Monatsausgaben für Versorgungsaufwendungen und Verwaltungskosten des jeweils vorangegangenen Wirtschaftsjahres eine allgemeine Rücklage anzusammeln.</w:t>
      </w:r>
    </w:p>
    <w:p>
      <w:r>
        <w:t xml:space="preserve">(2) Solange die in Absatz 1 genannte Höhe nicht erreicht ist, ist der Rücklage mindestens ein Zehntel ihres Sollbestandes jährlich aus Umlagen und Erstattungen zuzuführen.</w:t>
      </w:r>
    </w:p>
    <w:p>
      <w:r>
        <w:t xml:space="preserve">(3) Soweit eine Mitgliedschaft ohne Beteiligung an der Umlage nur zum Zwecke der Berechnung und Zahlung von Versorgungsbezügen (Erstattungsweg) besteht, sind ausscheidenden Mitgliedern ihre während der Zugehörigkeit zur kvw-Beamtenversorgung bereitgestellten Betriebsmittel (anteilige allgemeine Rücklage) zurückzuzahlen.</w:t>
      </w:r>
    </w:p>
    <w:p>
      <w:r>
        <w:rPr>
          <w:color w:val="555555"/>
          <w:sz w:val="17"/>
        </w:rPr>
        <w:t xml:space="preserve">Zitiervorschlag: § 33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