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NW_31272 (Nordrhein-Westfalen) — Pflichtmitglieder, freiwillige Mitglieder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Pflichtmitglieder der Versorgungskassen sind die kreisangehörigen Gemeinden ihres Geschäftsbereichs mit Ausnahme der Städte; § 2 Absatz 2 Satz 2 bleibt unberührt.</w:t>
      </w:r>
    </w:p>
    <w:p>
      <w:r>
        <w:t xml:space="preserve">(2) 1Als freiwillige Mitglieder können zugelassen werden</w:t>
      </w:r>
    </w:p>
    <w:p>
      <w:r>
        <w:t xml:space="preserve">1. andere Gemeinden und Gemeindeverbände,</w:t>
      </w:r>
    </w:p>
    <w:p>
      <w:r>
        <w:t xml:space="preserve">2. sonstige Körperschaften, Anstalten und Stiftungen des öffentlichen Rechts und</w:t>
      </w:r>
    </w:p>
    <w:p>
      <w:r>
        <w:t xml:space="preserve">3. juristische Personen des privaten Rechts und Personengesellschaften, wenn sie kommunale Aufgaben erfüllen,</w:t>
      </w:r>
    </w:p>
    <w:p>
      <w:r>
        <w:t xml:space="preserve">soweit sie ihren Sitz im Geschäftsbereich der Versorgungskassen haben. 2Die Mitgliedschaft kann sich auf einzelne Einrichtungen oder die Verwaltung der Versorgungsrücklage beschränken.</w:t>
      </w:r>
    </w:p>
    <w:p>
      <w:r>
        <w:t xml:space="preserve">(3) Das Verhältnis zwischen den Versorgungskassen und ihren Mitgliedern ist öffentlich-rechtlich bestimmt.</w:t>
      </w:r>
    </w:p>
    <w:p>
      <w:r>
        <w:t xml:space="preserve">Teil 3</w:t>
      </w:r>
    </w:p>
    <w:p>
      <w:r>
        <w:t xml:space="preserve">Verwaltungsrat</w:t>
      </w:r>
    </w:p>
    <w:p>
      <w:r>
        <w:rPr>
          <w:color w:val="555555"/>
          <w:sz w:val="17"/>
        </w:rPr>
        <w:t xml:space="preserve">Zitiervorschlag: § 3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