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NW_31272 (Nordrhein-Westfalen) — Schadensersatzansprüche und sonstige Leistungen Dritter</w:t>
      </w:r>
    </w:p>
    <w:p>
      <w:r>
        <w:rPr>
          <w:color w:val="555555"/>
          <w:sz w:val="18"/>
        </w:rPr>
        <w:t xml:space="preserve">kvw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1Steht einem Mitglied ein Schadensersatzanspruch gegen Dritte zu, so ist dieser Anspruch bis zur Höhe der von der kvw-Beamtenversorgung zu erbringenden Leistungen an diese abzutreten. 2Insoweit übernimmt die kvw-Beamtenversorgung die Geltendmachung des Schadensersatzanspruchs und die hierdurch entstehenden Kosten einschließlich der Kosten eines Rechtsstreits. 3Die kvw-Beamtenversorgung kann dem Mitglied die Geltendmachung des Ersatzanspruchs überlassen. 4Satz 3 gilt auch dann, wenn der Schadensersatzanspruch kraft Gesetzes auf die kvw-Beamtenversorgung übergeht.</w:t>
      </w:r>
    </w:p>
    <w:p>
      <w:r>
        <w:rPr>
          <w:color w:val="555555"/>
          <w:sz w:val="17"/>
        </w:rPr>
        <w:t xml:space="preserve">Zitiervorschlag: § 25 NW_31272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https://recht.nulegal.eu/gesetze/NW_31272/25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