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NW_31272 (Nordrhein-Westfalen) — Dienstunfallfürsorge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1Von jedem Dienstunfall hat das Mitglied der kvw-Beamtenversorgung unverzüglich Anzeige nach vorgeschriebenem Muster zu erstatten. 2Vor der Entscheidung des Dienstherrn über die Anerkennung eines Unfalles als Dienstunfall ist die kvw-Beamtenversorgung zu hören.</w:t>
      </w:r>
    </w:p>
    <w:p>
      <w:r>
        <w:t xml:space="preserve">(2) Für Mitglieder im Sinne von § 11 Absatz 4 ist zu vereinbaren, dass Dienstkräfte Schadensersatzansprüche gegen Dritte, die durch einen Unfall entstanden sind, an den Dienstherrn abtreten, soweit dieser zur Leistung verpflichtet ist.</w:t>
      </w:r>
    </w:p>
    <w:p>
      <w:r>
        <w:t xml:space="preserve">(3) Darüber hinaus muss die kvw-Beamtenversorgung gehört werden</w:t>
      </w:r>
    </w:p>
    <w:p>
      <w:r>
        <w:t xml:space="preserve">1. zur Durchführung des Heilverfahrens und</w:t>
      </w:r>
    </w:p>
    <w:p>
      <w:r>
        <w:t xml:space="preserve">2. vor jeder Neufestsetzung des Unfallausgleiches.</w:t>
      </w:r>
    </w:p>
    <w:p>
      <w:r>
        <w:rPr>
          <w:color w:val="555555"/>
          <w:sz w:val="17"/>
        </w:rPr>
        <w:t xml:space="preserve">Zitiervorschlag: § 20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