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NW_31272 (Nordrhein-Westfalen) — Allgemeine Regelungen</w:t>
      </w:r>
    </w:p>
    <w:p>
      <w:r>
        <w:rPr>
          <w:color w:val="555555"/>
          <w:sz w:val="18"/>
        </w:rPr>
        <w:t xml:space="preserve">kvw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1Die kvw-Beamtenversorgung trägt die von den Mitgliedern zu gewährenden Versorgungsleistungen nach den für Kommunalbeamtinnen/Kommunalbeamte im Lande Nordrhein-Westfalen geltenden beamtenrechtlichen Bestimmungen und nach Maßgabe dieser Satzung. 2Hierzu gehören auch die von den Mitgliedern neben den Versorgungsbezügen zu erbringenden Leistungen nach Abschnitt X des Einkommensteuergesetzes (Familienleistungsausgleich).</w:t>
      </w:r>
    </w:p>
    <w:p>
      <w:r>
        <w:t xml:space="preserve">(2) 1Nicht übernommen werden</w:t>
      </w:r>
    </w:p>
    <w:p>
      <w:r>
        <w:t xml:space="preserve">1. Ersatz für Sachschäden bei Dienstunfällen,</w:t>
      </w:r>
    </w:p>
    <w:p>
      <w:r>
        <w:t xml:space="preserve">2. Unfallfürsorgeleistungen für Ehrenbeamtinnen/Ehrenbeamte, soweit sie nach den Vorschriften des Sechsten Buches Sozialgesetzbuch – Gesetzliche Rentenversicherung – in der Fassung der Bekanntmachung vom 19. Februar 2002 (BGBl. I S. 754, 1404, 3384) in der jeweils geltenden Fassung durch den Versicherungsträger zu gewähren sind,</w:t>
      </w:r>
    </w:p>
    <w:p>
      <w:r>
        <w:t xml:space="preserve">3. Dienstbezüge, die den Erben einer/eines verstorbenen Beamtin/Beamten für den Sterbemonat verbleiben sowie</w:t>
      </w:r>
    </w:p>
    <w:p>
      <w:r>
        <w:t xml:space="preserve">4. Beihilfen und Unterstützungen.</w:t>
      </w:r>
    </w:p>
    <w:p>
      <w:r>
        <w:t xml:space="preserve">2Die Vorschriften über die kvw-Beihilfekasse bleiben unberührt.</w:t>
      </w:r>
    </w:p>
    <w:p>
      <w:r>
        <w:rPr>
          <w:color w:val="555555"/>
          <w:sz w:val="17"/>
        </w:rPr>
        <w:t xml:space="preserve">Zitiervorschlag: § 16 NW_31272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https://recht.nulegal.eu/gesetze/NW_31272/16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