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NW_31266 (Nordrhein-Westfalen)</w:t>
      </w:r>
    </w:p>
    <w:p>
      <w:r>
        <w:rPr>
          <w:color w:val="555555"/>
          <w:sz w:val="18"/>
        </w:rPr>
        <w:t xml:space="preserve">Verordnung zur Verleihung der Rechte einer Körperschaft des öffentlichen Rechts an die Rumänische Orthodoxe Metropolie für Deutschland, Zentral- und Nordeuropa mit Sitz in Nürnberg im Wege der Zweitverleihung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Rumänischen Orthodoxen Metropolie für Deutschland, Zentral- und Nordeuropa mit Sitz in Nürnberg werden im Anschluss an die Verleihung der Körperschaftsrechte durch den Freistaat Bayern für das Gebiet des Landes Nordrhein-Westfalen im Wege der Zweitverleihung die Rechte einer Körperschaft des öffentlichen Rechts verliehen.</w:t>
      </w:r>
    </w:p>
    <w:p>
      <w:r>
        <w:rPr>
          <w:color w:val="555555"/>
          <w:sz w:val="17"/>
        </w:rPr>
        <w:t xml:space="preserve">Zitiervorschlag: § 1 NW_31266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https://recht.nulegal.eu/gesetze/NW_31266/1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