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NW_31265 (Nordrhein-Westfalen)</w:t>
      </w:r>
    </w:p>
    <w:p>
      <w:r>
        <w:rPr>
          <w:color w:val="555555"/>
          <w:sz w:val="18"/>
        </w:rPr>
        <w:t xml:space="preserve">AltPflSchulkoVO</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Vom 27. Februar 2015</w:t>
      </w:r>
    </w:p>
    <w:p>
      <w:r>
        <w:t xml:space="preserve">Auf Grund des § 5 Absatz 6 des Landesaltenpflegegesetzes vom 27. Juni 2006 (GV. NRW. S. 290), das zuletzt durch Gesetz vom 18. Dezember 2014 (GV. NRW. S. 930) geändert worden ist, verordnet das Ministerium für Gesundheit, Emanzipation, Pflege und Alter mit Zustimmung des Finanzministeriums des Landes Nordrhein-Westfalen:</w:t>
      </w:r>
    </w:p>
    <w:p>
      <w:r>
        <w:rPr>
          <w:color w:val="555555"/>
          <w:sz w:val="17"/>
        </w:rPr>
        <w:t xml:space="preserve">Zitiervorschlag: Volltext NW_31265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https://recht.nulegal.eu/gesetze/NW_31265/volltext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