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NW_31265 (Nordrhein-Westfalen) — Datenerhebung, -speicherung und -nutzung</w:t>
      </w:r>
    </w:p>
    <w:p>
      <w:r>
        <w:rPr>
          <w:color w:val="555555"/>
          <w:sz w:val="18"/>
        </w:rPr>
        <w:t xml:space="preserve">AltPflSchulkoVO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Behörde ist berechtigt, folgende Daten bei den antragsstellenden Trägern der Fachseminare zu erheben, zu speichern und zu nutzen:</w:t>
      </w:r>
    </w:p>
    <w:p>
      <w:r>
        <w:t xml:space="preserve">1. Name und Anschrift des Trägers beziehungsweise der Inhaberin oder des Inhabers des Fachseminars,</w:t>
      </w:r>
    </w:p>
    <w:p>
      <w:r>
        <w:t xml:space="preserve">2. Bankverbindung des antragstellenden Trägers des Fachseminars.</w:t>
      </w:r>
    </w:p>
    <w:p>
      <w:r>
        <w:t xml:space="preserve">Die beteiligten Träger der Fachseminare sind verpflichtet, die entsprechenden Daten an die zuständige Behörde zu übermitteln.</w:t>
      </w:r>
    </w:p>
    <w:p>
      <w:r>
        <w:t xml:space="preserve">(2) Die zuständige Behörde ist berechtigt, im Rahmen der Neuberechnung und der Schlussrechnung zur Prüfung der Gesamtübersicht und der Ausbildungsverträge folgende personenbezogene Daten zu erheben:</w:t>
      </w:r>
    </w:p>
    <w:p>
      <w:r>
        <w:t xml:space="preserve">1. Namen der Schülerinnen und Schüler sowie Geschlecht,</w:t>
      </w:r>
    </w:p>
    <w:p>
      <w:r>
        <w:t xml:space="preserve">2. Beginn und Ende der einzelnen Ausbildungsverhältnisse und</w:t>
      </w:r>
    </w:p>
    <w:p>
      <w:r>
        <w:t xml:space="preserve">3. Dauer der Teilnahme der Schülerinnen und Schüler am Kurs.</w:t>
      </w:r>
    </w:p>
    <w:p>
      <w:r>
        <w:t xml:space="preserve">(3) Personenbezogene Daten dürfen nur erhoben, gespeichert, genutzt oder in sonstiger Weise verarbeitet werden, soweit dies zur Erfüllung der Aufgaben nach dieser Verordnung erforderlich ist. Im Übrigen gilt das Datenschutzgesetz Nordrhein-Westfalen in der Fassung der Bekanntmachung vom 9. Juni 2000 (GV. NRW. S. 542) in der jeweils geltenden Fassung.</w:t>
      </w:r>
    </w:p>
    <w:p>
      <w:r>
        <w:rPr>
          <w:color w:val="555555"/>
          <w:sz w:val="17"/>
        </w:rPr>
        <w:t xml:space="preserve">Zitiervorschlag: § 9 NW_31265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https://recht.nulegal.eu/gesetze/NW_31265/9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