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NW_31265 (Nordrhein-Westfalen) — Berichtspflicht</w:t>
      </w:r>
    </w:p>
    <w:p>
      <w:r>
        <w:rPr>
          <w:color w:val="555555"/>
          <w:sz w:val="18"/>
        </w:rPr>
        <w:t xml:space="preserve">AltPflSchulkoVO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die Altenpflege zuständige Ministerium berichtet der Landesregierung zum 31. Dezember 2017 über die Notwendigkeit des Fortbestehens dieser Verordnung.</w:t>
      </w:r>
    </w:p>
    <w:p>
      <w:r>
        <w:rPr>
          <w:color w:val="555555"/>
          <w:sz w:val="17"/>
        </w:rPr>
        <w:t xml:space="preserve">Zitiervorschlag: § 10 NW_31265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https://recht.nulegal.eu/gesetze/NW_31265/10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