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NW_31265 (Nordrhein-Westfalen) — Zuständigkeit</w:t>
      </w:r>
    </w:p>
    <w:p>
      <w:r>
        <w:rPr>
          <w:color w:val="555555"/>
          <w:sz w:val="18"/>
        </w:rPr>
        <w:t xml:space="preserve">AltPflSchulkoVO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Gewährung der Schulkostenpauschale und zur Durchführung des Verfahrens ist die Bezirksregierung, in deren Zuständigkeitsbereich sich das Fachseminar befindet.</w:t>
      </w:r>
    </w:p>
    <w:p>
      <w:r>
        <w:rPr>
          <w:color w:val="555555"/>
          <w:sz w:val="17"/>
        </w:rPr>
        <w:t xml:space="preserve">Zitiervorschlag: § 1 NW_31265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