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NW_31264 (Nordrhein-Westfalen)</w:t>
      </w:r>
    </w:p>
    <w:p>
      <w:r>
        <w:rPr>
          <w:color w:val="555555"/>
          <w:sz w:val="18"/>
        </w:rPr>
        <w:t xml:space="preserve">Verordnung über die Industrie- und Handelskammern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Recht der Industrie- und Handelskammern, Sitz und Namen mit Genehmigung der Aufsichtsbehörde in der Satzung abweichend von dieser Verordnung festzulegen, bleibt unberührt.</w:t>
      </w:r>
    </w:p>
    <w:p>
      <w:r>
        <w:rPr>
          <w:color w:val="555555"/>
          <w:sz w:val="17"/>
        </w:rPr>
        <w:t xml:space="preserve">Zitiervorschlag: § 2 NW_31264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